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CE" w:rsidRPr="004752CE" w:rsidRDefault="004752CE" w:rsidP="002131DC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2451EE" w:rsidRPr="00245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Освобождение от административной ответственности за коррупционное правонарушение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Федеральным законодательством для юридических лиц установлена административная ответственность по статье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за незаконное вознаграждение от имени юридического лица (коммерческий подкуп).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Минимальный размер административного штрафа по ч.1 ст.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1 млн. рублей, по ч.2 ст.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- 20 млн. рублей, 100 млн. рублей.</w:t>
      </w:r>
      <w:proofErr w:type="gramEnd"/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Возбуждение административного дела по ст.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находится в исключительной компетенции прокурора.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Срок давности привлечения к административной ответственности составляет шесть лет.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Применение административного наказания является не единственным юридическим последствием совершения данного административного правонарушения.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Для организаций, привлеченных к административной ответственности по статье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РФ, устанавливается двухлетний запрет на участие в закупках для государственных и муниципальных нужд.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Сведения о факте привлечения организации к ответственности вносятся в Реестр юридических лиц, привлеченных к административной ответственности по статье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РФ, ведение реестра обеспечивает Генеральная прокуратура РФ, а сам реестр находится в общем доступе на официальном сайте прокуратуры.</w:t>
      </w:r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proofErr w:type="gram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Вместе с тем с августа 2018 года в статью 19.28 </w:t>
      </w:r>
      <w:proofErr w:type="spellStart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КоАП</w:t>
      </w:r>
      <w:proofErr w:type="spellEnd"/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РФ внесены изменения, согласно которым юридическое лицо освобождается от административной ответственности за административное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2451EE" w:rsidRPr="002451EE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Изменения направлены на своевременное информирование хозяйствующими субъектами правоохранительных органов о фактах преступной деятельности должностных лиц.</w:t>
      </w:r>
    </w:p>
    <w:p w:rsidR="00362B3B" w:rsidRDefault="002451EE" w:rsidP="002451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2451EE">
        <w:rPr>
          <w:rFonts w:ascii="Times New Roman" w:eastAsia="Times New Roman" w:hAnsi="Times New Roman" w:cs="Times New Roman"/>
          <w:color w:val="2C2C2C"/>
          <w:sz w:val="28"/>
          <w:szCs w:val="28"/>
        </w:rPr>
        <w:t>Нововведение особенно важно для выявления и расследования коррупционных правонарушений, имеющих высокий уровень латентности, связанной с нежеланием участников раскрывать факты корпоративной коррупции.</w:t>
      </w:r>
    </w:p>
    <w:p w:rsidR="00056C01" w:rsidRDefault="00056C01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2451EE" w:rsidRDefault="002451EE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D3D31"/>
    <w:rsid w:val="002131DC"/>
    <w:rsid w:val="002451EE"/>
    <w:rsid w:val="00362B3B"/>
    <w:rsid w:val="004752CE"/>
    <w:rsid w:val="004F273F"/>
    <w:rsid w:val="00541C69"/>
    <w:rsid w:val="006949F3"/>
    <w:rsid w:val="006E534C"/>
    <w:rsid w:val="00826A81"/>
    <w:rsid w:val="008E637C"/>
    <w:rsid w:val="00DC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2020-05-29T10:55:00Z</dcterms:created>
  <dcterms:modified xsi:type="dcterms:W3CDTF">2020-06-01T03:20:00Z</dcterms:modified>
</cp:coreProperties>
</file>